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2D" w:rsidRDefault="00E9732D" w:rsidP="00E9732D">
      <w:pPr>
        <w:spacing w:line="360" w:lineRule="auto"/>
        <w:jc w:val="center"/>
        <w:rPr>
          <w:rFonts w:ascii="Arial" w:hAnsi="Arial" w:cs="Arial"/>
          <w:b/>
          <w:sz w:val="24"/>
          <w:szCs w:val="24"/>
          <w:u w:val="single"/>
        </w:rPr>
      </w:pPr>
      <w:bookmarkStart w:id="0" w:name="_GoBack"/>
      <w:bookmarkEnd w:id="0"/>
      <w:r w:rsidRPr="008D6EAB">
        <w:rPr>
          <w:rFonts w:ascii="Arial" w:hAnsi="Arial" w:cs="Arial"/>
          <w:i/>
          <w:noProof/>
        </w:rPr>
        <w:drawing>
          <wp:inline distT="0" distB="0" distL="0" distR="0" wp14:anchorId="43832F1F" wp14:editId="1AB393E7">
            <wp:extent cx="1419225" cy="1063955"/>
            <wp:effectExtent l="0" t="0" r="0" b="3175"/>
            <wp:docPr id="1" name="Picture 1" descr="C:\Users\Ayushi\Desktop\verka-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ushi\Desktop\verka-produc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3466" cy="1074631"/>
                    </a:xfrm>
                    <a:prstGeom prst="rect">
                      <a:avLst/>
                    </a:prstGeom>
                    <a:noFill/>
                    <a:ln>
                      <a:noFill/>
                    </a:ln>
                  </pic:spPr>
                </pic:pic>
              </a:graphicData>
            </a:graphic>
          </wp:inline>
        </w:drawing>
      </w:r>
    </w:p>
    <w:p w:rsidR="00E9732D" w:rsidRDefault="00E9732D" w:rsidP="00E9732D">
      <w:pPr>
        <w:spacing w:line="360" w:lineRule="auto"/>
        <w:jc w:val="center"/>
        <w:rPr>
          <w:rFonts w:ascii="Arial" w:hAnsi="Arial" w:cs="Arial"/>
          <w:b/>
          <w:sz w:val="24"/>
          <w:szCs w:val="24"/>
          <w:u w:val="single"/>
        </w:rPr>
      </w:pPr>
      <w:r w:rsidRPr="004F1838">
        <w:rPr>
          <w:rFonts w:ascii="Arial" w:hAnsi="Arial" w:cs="Arial"/>
          <w:noProof/>
        </w:rPr>
        <w:drawing>
          <wp:inline distT="0" distB="0" distL="0" distR="0" wp14:anchorId="39AF62AA" wp14:editId="1868EB0D">
            <wp:extent cx="2365183" cy="581025"/>
            <wp:effectExtent l="0" t="0" r="0" b="0"/>
            <wp:docPr id="4" name="Picture 4" descr="C:\Users\Ayushi\Desktop\Ve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ushi\Desktop\Verk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6666" cy="588759"/>
                    </a:xfrm>
                    <a:prstGeom prst="rect">
                      <a:avLst/>
                    </a:prstGeom>
                    <a:noFill/>
                    <a:ln>
                      <a:noFill/>
                    </a:ln>
                  </pic:spPr>
                </pic:pic>
              </a:graphicData>
            </a:graphic>
          </wp:inline>
        </w:drawing>
      </w:r>
    </w:p>
    <w:p w:rsidR="00E9732D" w:rsidRPr="00E9732D" w:rsidRDefault="00E9732D" w:rsidP="00E9732D">
      <w:pPr>
        <w:spacing w:line="360" w:lineRule="auto"/>
        <w:jc w:val="center"/>
        <w:rPr>
          <w:rFonts w:ascii="Arial" w:hAnsi="Arial" w:cs="Arial"/>
          <w:b/>
          <w:u w:val="single"/>
        </w:rPr>
      </w:pPr>
      <w:r w:rsidRPr="00E9732D">
        <w:rPr>
          <w:rFonts w:ascii="Arial" w:hAnsi="Arial" w:cs="Arial"/>
          <w:b/>
          <w:sz w:val="18"/>
          <w:szCs w:val="18"/>
          <w:u w:val="single"/>
        </w:rPr>
        <w:t xml:space="preserve"> </w:t>
      </w:r>
      <w:r w:rsidRPr="00E9732D">
        <w:rPr>
          <w:rFonts w:ascii="Arial" w:hAnsi="Arial" w:cs="Arial"/>
          <w:b/>
          <w:u w:val="single"/>
        </w:rPr>
        <w:t>THE PUNJAB STATE COOPERATIVE MILK PRODUCERS’ FEDERATION LIMITED MILKFED BRANCH SALES OFFICE JAMMU180011</w:t>
      </w:r>
    </w:p>
    <w:p w:rsidR="00E9732D" w:rsidRPr="00E9732D" w:rsidRDefault="00E9732D" w:rsidP="00E9732D">
      <w:pPr>
        <w:spacing w:line="360" w:lineRule="auto"/>
        <w:jc w:val="center"/>
        <w:rPr>
          <w:rFonts w:ascii="Arial" w:hAnsi="Arial" w:cs="Arial"/>
          <w:b/>
        </w:rPr>
      </w:pPr>
      <w:r w:rsidRPr="00E9732D">
        <w:rPr>
          <w:rFonts w:ascii="Arial" w:hAnsi="Arial" w:cs="Arial"/>
          <w:b/>
        </w:rPr>
        <w:t>Notice for appointment of Clearing and Forwarding (C&amp;F) Agent</w:t>
      </w:r>
    </w:p>
    <w:p w:rsidR="00E9732D" w:rsidRPr="00E9732D" w:rsidRDefault="00E9732D" w:rsidP="00E9732D">
      <w:pPr>
        <w:spacing w:line="360" w:lineRule="auto"/>
        <w:jc w:val="center"/>
        <w:rPr>
          <w:rFonts w:ascii="Arial" w:hAnsi="Arial" w:cs="Arial"/>
        </w:rPr>
      </w:pPr>
      <w:r w:rsidRPr="00E9732D">
        <w:rPr>
          <w:rFonts w:ascii="Arial" w:hAnsi="Arial" w:cs="Arial"/>
        </w:rPr>
        <w:t>The Punjab State Cooperative Milk Producers’ Federation Limited (</w:t>
      </w:r>
      <w:proofErr w:type="spellStart"/>
      <w:r w:rsidRPr="00E9732D">
        <w:rPr>
          <w:rFonts w:ascii="Arial" w:hAnsi="Arial" w:cs="Arial"/>
        </w:rPr>
        <w:t>Verka</w:t>
      </w:r>
      <w:proofErr w:type="spellEnd"/>
      <w:r w:rsidRPr="00E9732D">
        <w:rPr>
          <w:rFonts w:ascii="Arial" w:hAnsi="Arial" w:cs="Arial"/>
        </w:rPr>
        <w:t>) proposes to appoint a Clearing and Forwarding Agent in the state of J &amp; K at Jammu.</w:t>
      </w:r>
    </w:p>
    <w:p w:rsidR="00E9732D" w:rsidRPr="00E9732D" w:rsidRDefault="00E9732D" w:rsidP="00E9732D">
      <w:pPr>
        <w:spacing w:line="360" w:lineRule="auto"/>
        <w:jc w:val="center"/>
        <w:rPr>
          <w:rFonts w:ascii="Arial" w:hAnsi="Arial" w:cs="Arial"/>
        </w:rPr>
      </w:pPr>
      <w:r w:rsidRPr="00E9732D">
        <w:rPr>
          <w:rFonts w:ascii="Arial" w:hAnsi="Arial" w:cs="Arial"/>
        </w:rPr>
        <w:t xml:space="preserve">THE DETAILED ADVERTISEMENT AND FURTHER TERMS AND CONDITIONS ARE AVAILABLE AT IN THE WEBSITE </w:t>
      </w:r>
      <w:hyperlink r:id="rId8" w:history="1">
        <w:r w:rsidRPr="00E9732D">
          <w:rPr>
            <w:rStyle w:val="Hyperlink"/>
            <w:rFonts w:ascii="Arial" w:hAnsi="Arial" w:cs="Arial"/>
          </w:rPr>
          <w:t>www.verka.coop</w:t>
        </w:r>
      </w:hyperlink>
    </w:p>
    <w:p w:rsidR="00E9732D" w:rsidRPr="00E9732D" w:rsidRDefault="00E9732D" w:rsidP="00E9732D">
      <w:pPr>
        <w:spacing w:line="360" w:lineRule="auto"/>
        <w:jc w:val="center"/>
        <w:rPr>
          <w:rFonts w:ascii="Arial" w:hAnsi="Arial" w:cs="Arial"/>
        </w:rPr>
      </w:pPr>
      <w:r w:rsidRPr="00E9732D">
        <w:rPr>
          <w:rFonts w:ascii="Arial" w:hAnsi="Arial" w:cs="Arial"/>
        </w:rPr>
        <w:t>APPLICANTS, IN THEIR OWN INTEREST, SHOULD CAREFULLY GO THROUGH THE DETAILED ADVERTISEMENT AND UNDERSTAND THE CONDITIONS OF SELECTION BEFORE SUBMITTING THEIR APPLICATION.</w:t>
      </w:r>
    </w:p>
    <w:p w:rsidR="00E9732D" w:rsidRPr="00E9732D" w:rsidRDefault="00E9732D" w:rsidP="00E9732D">
      <w:pPr>
        <w:spacing w:line="360" w:lineRule="auto"/>
        <w:jc w:val="center"/>
        <w:rPr>
          <w:rFonts w:ascii="Arial" w:hAnsi="Arial" w:cs="Arial"/>
        </w:rPr>
      </w:pPr>
      <w:r w:rsidRPr="00E9732D">
        <w:rPr>
          <w:rFonts w:ascii="Arial" w:hAnsi="Arial" w:cs="Arial"/>
        </w:rPr>
        <w:t>The parties to be preferred must have the required infrastructure i.e. warehousing, office establishment, logistics and supply chain management coupled with strong financial background and have specialised expertise in operating Carrying &amp; Forwarding operations of FMCG products, preferably Dairy and Food products.</w:t>
      </w:r>
    </w:p>
    <w:p w:rsidR="00E9732D" w:rsidRPr="00E9732D" w:rsidRDefault="00E9732D" w:rsidP="00E9732D">
      <w:pPr>
        <w:spacing w:line="360" w:lineRule="auto"/>
        <w:jc w:val="center"/>
        <w:rPr>
          <w:rFonts w:ascii="Arial" w:hAnsi="Arial" w:cs="Arial"/>
        </w:rPr>
      </w:pPr>
      <w:r w:rsidRPr="00E9732D">
        <w:rPr>
          <w:rFonts w:ascii="Arial" w:hAnsi="Arial" w:cs="Arial"/>
        </w:rPr>
        <w:t xml:space="preserve">All interested applicants are required to fill and send the financial &amp; technical bid through post or </w:t>
      </w:r>
      <w:proofErr w:type="gramStart"/>
      <w:r w:rsidRPr="00E9732D">
        <w:rPr>
          <w:rFonts w:ascii="Arial" w:hAnsi="Arial" w:cs="Arial"/>
        </w:rPr>
        <w:t>By</w:t>
      </w:r>
      <w:proofErr w:type="gramEnd"/>
      <w:r w:rsidRPr="00E9732D">
        <w:rPr>
          <w:rFonts w:ascii="Arial" w:hAnsi="Arial" w:cs="Arial"/>
        </w:rPr>
        <w:t xml:space="preserve"> hand to the below mentioned address. </w:t>
      </w:r>
      <w:proofErr w:type="gramStart"/>
      <w:r w:rsidRPr="00E9732D">
        <w:rPr>
          <w:rFonts w:ascii="Arial" w:hAnsi="Arial" w:cs="Arial"/>
        </w:rPr>
        <w:t>These being present in the detailed instructions on the site.</w:t>
      </w:r>
      <w:proofErr w:type="gramEnd"/>
      <w:r w:rsidRPr="00E9732D">
        <w:rPr>
          <w:rFonts w:ascii="Arial" w:hAnsi="Arial" w:cs="Arial"/>
        </w:rPr>
        <w:t xml:space="preserve"> The Applications will be received up to 14.03.2019 at 3.00 P.M  Sealed proposal of Parties will be opened on 15.03.2019 at 11.00 AM in the presence of parties who may want to be present at the same address mention below.</w:t>
      </w:r>
    </w:p>
    <w:p w:rsidR="00E9732D" w:rsidRPr="00E9732D" w:rsidRDefault="00E9732D" w:rsidP="00E9732D">
      <w:pPr>
        <w:spacing w:line="360" w:lineRule="auto"/>
        <w:jc w:val="center"/>
        <w:rPr>
          <w:rFonts w:ascii="Arial" w:hAnsi="Arial" w:cs="Arial"/>
        </w:rPr>
      </w:pPr>
      <w:r w:rsidRPr="00E9732D">
        <w:rPr>
          <w:rFonts w:ascii="Arial" w:hAnsi="Arial" w:cs="Arial"/>
        </w:rPr>
        <w:t>The Federation reserved the right to amend/cancel/withdraw this advertisement or extend the due date at its own discretion without assigning any reason.</w:t>
      </w:r>
    </w:p>
    <w:p w:rsidR="00E9732D" w:rsidRPr="00E9732D" w:rsidRDefault="00E9732D" w:rsidP="00E9732D">
      <w:pPr>
        <w:spacing w:line="360" w:lineRule="auto"/>
        <w:jc w:val="center"/>
        <w:rPr>
          <w:rFonts w:ascii="Arial" w:hAnsi="Arial" w:cs="Arial"/>
        </w:rPr>
      </w:pPr>
      <w:r w:rsidRPr="00E9732D">
        <w:rPr>
          <w:rFonts w:ascii="Arial" w:hAnsi="Arial" w:cs="Arial"/>
        </w:rPr>
        <w:t>For any information and queries with regard to the advertisement, applicants may contact the following mentioned addresses:</w:t>
      </w:r>
    </w:p>
    <w:tbl>
      <w:tblPr>
        <w:tblStyle w:val="TableGrid"/>
        <w:tblW w:w="0" w:type="auto"/>
        <w:tblLook w:val="04A0" w:firstRow="1" w:lastRow="0" w:firstColumn="1" w:lastColumn="0" w:noHBand="0" w:noVBand="1"/>
      </w:tblPr>
      <w:tblGrid>
        <w:gridCol w:w="754"/>
        <w:gridCol w:w="8262"/>
      </w:tblGrid>
      <w:tr w:rsidR="00E9732D" w:rsidRPr="00E9732D" w:rsidTr="00210E21">
        <w:tc>
          <w:tcPr>
            <w:tcW w:w="754" w:type="dxa"/>
          </w:tcPr>
          <w:p w:rsidR="00E9732D" w:rsidRPr="00E9732D" w:rsidRDefault="00E9732D" w:rsidP="00210E21">
            <w:pPr>
              <w:spacing w:line="360" w:lineRule="auto"/>
              <w:jc w:val="center"/>
              <w:rPr>
                <w:rFonts w:ascii="Arial" w:hAnsi="Arial" w:cs="Arial"/>
                <w:b/>
              </w:rPr>
            </w:pPr>
            <w:r w:rsidRPr="00E9732D">
              <w:rPr>
                <w:rFonts w:ascii="Arial" w:hAnsi="Arial" w:cs="Arial"/>
                <w:b/>
              </w:rPr>
              <w:lastRenderedPageBreak/>
              <w:t>S.no.</w:t>
            </w:r>
          </w:p>
        </w:tc>
        <w:tc>
          <w:tcPr>
            <w:tcW w:w="8262" w:type="dxa"/>
          </w:tcPr>
          <w:p w:rsidR="00E9732D" w:rsidRPr="00E9732D" w:rsidRDefault="00E9732D" w:rsidP="00210E21">
            <w:pPr>
              <w:spacing w:line="360" w:lineRule="auto"/>
              <w:jc w:val="center"/>
              <w:rPr>
                <w:rFonts w:ascii="Arial" w:hAnsi="Arial" w:cs="Arial"/>
                <w:b/>
              </w:rPr>
            </w:pPr>
            <w:r w:rsidRPr="00E9732D">
              <w:rPr>
                <w:rFonts w:ascii="Arial" w:hAnsi="Arial" w:cs="Arial"/>
                <w:b/>
              </w:rPr>
              <w:t>Address</w:t>
            </w:r>
          </w:p>
        </w:tc>
      </w:tr>
      <w:tr w:rsidR="00E9732D" w:rsidRPr="00E9732D" w:rsidTr="00210E21">
        <w:tc>
          <w:tcPr>
            <w:tcW w:w="754" w:type="dxa"/>
            <w:vMerge w:val="restart"/>
            <w:tcBorders>
              <w:left w:val="single" w:sz="4" w:space="0" w:color="auto"/>
            </w:tcBorders>
          </w:tcPr>
          <w:p w:rsidR="00E9732D" w:rsidRPr="00E9732D" w:rsidRDefault="00E9732D" w:rsidP="00E9732D">
            <w:pPr>
              <w:pStyle w:val="ListParagraph"/>
              <w:numPr>
                <w:ilvl w:val="0"/>
                <w:numId w:val="4"/>
              </w:numPr>
              <w:spacing w:after="0" w:line="360" w:lineRule="auto"/>
              <w:jc w:val="center"/>
              <w:rPr>
                <w:rFonts w:ascii="Arial" w:hAnsi="Arial" w:cs="Arial"/>
              </w:rPr>
            </w:pPr>
          </w:p>
        </w:tc>
        <w:tc>
          <w:tcPr>
            <w:tcW w:w="8262" w:type="dxa"/>
            <w:tcBorders>
              <w:top w:val="nil"/>
            </w:tcBorders>
          </w:tcPr>
          <w:p w:rsidR="00E9732D" w:rsidRPr="00E9732D" w:rsidRDefault="00E9732D" w:rsidP="00210E21">
            <w:pPr>
              <w:spacing w:line="360" w:lineRule="auto"/>
              <w:jc w:val="center"/>
              <w:rPr>
                <w:rFonts w:ascii="Arial" w:hAnsi="Arial" w:cs="Arial"/>
              </w:rPr>
            </w:pPr>
            <w:r w:rsidRPr="00E9732D">
              <w:rPr>
                <w:rFonts w:ascii="Arial" w:hAnsi="Arial" w:cs="Arial"/>
              </w:rPr>
              <w:t>Manager Marketing 0191-2465902, 9914695200</w:t>
            </w:r>
          </w:p>
          <w:p w:rsidR="00E9732D" w:rsidRPr="00E9732D" w:rsidRDefault="00E9732D" w:rsidP="00E9732D">
            <w:pPr>
              <w:spacing w:line="360" w:lineRule="auto"/>
              <w:jc w:val="center"/>
              <w:rPr>
                <w:rFonts w:ascii="Arial" w:hAnsi="Arial" w:cs="Arial"/>
              </w:rPr>
            </w:pPr>
            <w:proofErr w:type="spellStart"/>
            <w:r w:rsidRPr="00E9732D">
              <w:rPr>
                <w:rFonts w:ascii="Arial" w:hAnsi="Arial" w:cs="Arial"/>
              </w:rPr>
              <w:t>Verka</w:t>
            </w:r>
            <w:proofErr w:type="spellEnd"/>
            <w:r w:rsidRPr="00E9732D">
              <w:rPr>
                <w:rFonts w:ascii="Arial" w:hAnsi="Arial" w:cs="Arial"/>
              </w:rPr>
              <w:t xml:space="preserve"> Sale Depot, Plot no 1,Delli bye pass Jammu ,180011</w:t>
            </w:r>
          </w:p>
        </w:tc>
      </w:tr>
    </w:tbl>
    <w:p w:rsidR="00E9732D" w:rsidRDefault="00E9732D" w:rsidP="00165FB8">
      <w:pPr>
        <w:pStyle w:val="Default"/>
        <w:spacing w:line="276" w:lineRule="auto"/>
        <w:jc w:val="both"/>
        <w:rPr>
          <w:rFonts w:ascii="Arial" w:hAnsi="Arial" w:cs="Arial"/>
          <w:b/>
          <w:bCs/>
        </w:rPr>
      </w:pPr>
    </w:p>
    <w:p w:rsidR="00E9732D" w:rsidRDefault="00E9732D" w:rsidP="00165FB8">
      <w:pPr>
        <w:pStyle w:val="Default"/>
        <w:spacing w:line="276" w:lineRule="auto"/>
        <w:jc w:val="both"/>
        <w:rPr>
          <w:rFonts w:ascii="Arial" w:hAnsi="Arial" w:cs="Arial"/>
          <w:b/>
          <w:bCs/>
        </w:rPr>
      </w:pPr>
    </w:p>
    <w:p w:rsidR="00165FB8" w:rsidRPr="00E9732D" w:rsidRDefault="00165FB8" w:rsidP="00165FB8">
      <w:pPr>
        <w:pStyle w:val="Default"/>
        <w:spacing w:line="276" w:lineRule="auto"/>
        <w:jc w:val="both"/>
        <w:rPr>
          <w:rFonts w:ascii="Arial" w:hAnsi="Arial" w:cs="Arial"/>
          <w:b/>
          <w:bCs/>
          <w:sz w:val="22"/>
          <w:szCs w:val="22"/>
        </w:rPr>
      </w:pPr>
      <w:r w:rsidRPr="00E9732D">
        <w:rPr>
          <w:rFonts w:ascii="Arial" w:hAnsi="Arial" w:cs="Arial"/>
          <w:b/>
          <w:bCs/>
          <w:sz w:val="22"/>
          <w:szCs w:val="22"/>
        </w:rPr>
        <w:t>General Terms &amp; Conditions:-</w:t>
      </w:r>
    </w:p>
    <w:p w:rsidR="00165FB8" w:rsidRPr="00E9732D" w:rsidRDefault="00165FB8" w:rsidP="00165FB8">
      <w:pPr>
        <w:pStyle w:val="Default"/>
        <w:spacing w:line="360" w:lineRule="auto"/>
        <w:jc w:val="both"/>
        <w:rPr>
          <w:rFonts w:ascii="Arial" w:hAnsi="Arial" w:cs="Arial"/>
          <w:b/>
          <w:bCs/>
          <w:sz w:val="22"/>
          <w:szCs w:val="22"/>
        </w:rPr>
      </w:pP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The quotation shall have two parts 1) Technical Bid</w:t>
      </w:r>
      <w:proofErr w:type="gramStart"/>
      <w:r w:rsidRPr="00E9732D">
        <w:rPr>
          <w:rFonts w:ascii="Arial" w:hAnsi="Arial" w:cs="Arial"/>
          <w:sz w:val="22"/>
          <w:szCs w:val="22"/>
        </w:rPr>
        <w:t>,</w:t>
      </w:r>
      <w:proofErr w:type="gramEnd"/>
      <w:r w:rsidRPr="00E9732D">
        <w:rPr>
          <w:rFonts w:ascii="Arial" w:hAnsi="Arial" w:cs="Arial"/>
          <w:sz w:val="22"/>
          <w:szCs w:val="22"/>
        </w:rPr>
        <w:t>2) Financial Bid.</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Technical Bid will be opened first &amp; those who qualify in the Technical Bid shall be eligible for opening of Financial Bid. (The proposed Performa of Technical Bid as well as Financial Bid is attached herewith)</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 xml:space="preserve">The documentation of Technical Bid parameters shall be required to be presented before the finalization of appointment of C&amp;FA  </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The rates shall be quoted from serial no 1 to 8 separately and should be quoted on per kg/per month/ per case &amp; per square feet basis.</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The party shall have valid GST, FSSAI and other statutory requirements complying certificates.</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 xml:space="preserve">The selected party for C&amp;FA shall have to deposit Bank guarantee as guarantee amount for the stocks to be stored in the warehouse at the first instance and this guarantee shall increase with the volume of stocks to be stored from time to time.  </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The rates shall be inclusive of GST and other statutory levies.</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The insurance of the goods in the godown shall be got done by Milkfed giving full risk coverage like fire, burglary, theft, riots, floods and other natural calamity.</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 xml:space="preserve">The C&amp;FA shall be fully responsible for leakage/damage etc, once the stocks are taken on the stock ledger of </w:t>
      </w:r>
      <w:r w:rsidR="00D863F1" w:rsidRPr="00E9732D">
        <w:rPr>
          <w:rFonts w:ascii="Arial" w:hAnsi="Arial" w:cs="Arial"/>
          <w:sz w:val="22"/>
          <w:szCs w:val="22"/>
        </w:rPr>
        <w:t>the party</w:t>
      </w:r>
      <w:r w:rsidRPr="00E9732D">
        <w:rPr>
          <w:rFonts w:ascii="Arial" w:hAnsi="Arial" w:cs="Arial"/>
          <w:sz w:val="22"/>
          <w:szCs w:val="22"/>
        </w:rPr>
        <w:t xml:space="preserve"> to be appointed as C&amp;FA.</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 xml:space="preserve">The transit insurance risk cover for all the consignments to be dispatched in </w:t>
      </w:r>
      <w:proofErr w:type="spellStart"/>
      <w:proofErr w:type="gramStart"/>
      <w:r w:rsidR="00E9732D" w:rsidRPr="00E9732D">
        <w:rPr>
          <w:rFonts w:ascii="Arial" w:hAnsi="Arial" w:cs="Arial"/>
          <w:sz w:val="22"/>
          <w:szCs w:val="22"/>
        </w:rPr>
        <w:t>jammu</w:t>
      </w:r>
      <w:proofErr w:type="spellEnd"/>
      <w:proofErr w:type="gramEnd"/>
      <w:r w:rsidR="00E9732D" w:rsidRPr="00E9732D">
        <w:rPr>
          <w:rFonts w:ascii="Arial" w:hAnsi="Arial" w:cs="Arial"/>
          <w:sz w:val="22"/>
          <w:szCs w:val="22"/>
        </w:rPr>
        <w:t xml:space="preserve"> and </w:t>
      </w:r>
      <w:proofErr w:type="spellStart"/>
      <w:r w:rsidR="00E9732D" w:rsidRPr="00E9732D">
        <w:rPr>
          <w:rFonts w:ascii="Arial" w:hAnsi="Arial" w:cs="Arial"/>
          <w:sz w:val="22"/>
          <w:szCs w:val="22"/>
        </w:rPr>
        <w:t>Kahmir</w:t>
      </w:r>
      <w:proofErr w:type="spellEnd"/>
      <w:r w:rsidR="00E9732D" w:rsidRPr="00E9732D">
        <w:rPr>
          <w:rFonts w:ascii="Arial" w:hAnsi="Arial" w:cs="Arial"/>
          <w:sz w:val="22"/>
          <w:szCs w:val="22"/>
        </w:rPr>
        <w:t xml:space="preserve"> </w:t>
      </w:r>
      <w:r w:rsidRPr="00E9732D">
        <w:rPr>
          <w:rFonts w:ascii="Arial" w:hAnsi="Arial" w:cs="Arial"/>
          <w:sz w:val="22"/>
          <w:szCs w:val="22"/>
        </w:rPr>
        <w:t>state shall be provided by Milkfed.</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This arrangement shall be initially for one year and shall be extendable for another two years on same rates/terms and conditions, on mutual agreement.</w:t>
      </w:r>
    </w:p>
    <w:p w:rsidR="00165FB8"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Milkfed shall enter in to agreement with the owner of the warehouse/godown and party shall operate from there.</w:t>
      </w:r>
    </w:p>
    <w:p w:rsidR="00E9732D" w:rsidRDefault="00E9732D" w:rsidP="00E9732D">
      <w:pPr>
        <w:pStyle w:val="Default"/>
        <w:spacing w:line="360" w:lineRule="auto"/>
        <w:jc w:val="both"/>
        <w:rPr>
          <w:rFonts w:ascii="Arial" w:hAnsi="Arial" w:cs="Arial"/>
          <w:sz w:val="22"/>
          <w:szCs w:val="22"/>
        </w:rPr>
      </w:pPr>
    </w:p>
    <w:p w:rsidR="00E9732D" w:rsidRDefault="00E9732D" w:rsidP="00E9732D">
      <w:pPr>
        <w:pStyle w:val="Default"/>
        <w:spacing w:line="360" w:lineRule="auto"/>
        <w:jc w:val="both"/>
        <w:rPr>
          <w:rFonts w:ascii="Arial" w:hAnsi="Arial" w:cs="Arial"/>
          <w:sz w:val="22"/>
          <w:szCs w:val="22"/>
        </w:rPr>
      </w:pPr>
    </w:p>
    <w:p w:rsidR="00E9732D" w:rsidRPr="00E9732D" w:rsidRDefault="00E9732D" w:rsidP="00E9732D">
      <w:pPr>
        <w:pStyle w:val="Default"/>
        <w:spacing w:line="360" w:lineRule="auto"/>
        <w:jc w:val="both"/>
        <w:rPr>
          <w:rFonts w:ascii="Arial" w:hAnsi="Arial" w:cs="Arial"/>
          <w:sz w:val="22"/>
          <w:szCs w:val="22"/>
        </w:rPr>
      </w:pPr>
    </w:p>
    <w:p w:rsidR="00E9732D" w:rsidRDefault="00E9732D" w:rsidP="00CE21AF">
      <w:pPr>
        <w:pStyle w:val="Default"/>
        <w:spacing w:line="360" w:lineRule="auto"/>
        <w:ind w:left="360"/>
        <w:jc w:val="both"/>
        <w:rPr>
          <w:rFonts w:ascii="Arial" w:hAnsi="Arial" w:cs="Arial"/>
          <w:sz w:val="22"/>
          <w:szCs w:val="22"/>
        </w:rPr>
      </w:pPr>
    </w:p>
    <w:p w:rsidR="00E9732D" w:rsidRPr="00E9732D" w:rsidRDefault="00E9732D" w:rsidP="00CE21AF">
      <w:pPr>
        <w:pStyle w:val="Default"/>
        <w:spacing w:line="360" w:lineRule="auto"/>
        <w:ind w:left="360"/>
        <w:jc w:val="center"/>
        <w:rPr>
          <w:rFonts w:ascii="Arial" w:hAnsi="Arial" w:cs="Arial"/>
          <w:sz w:val="22"/>
          <w:szCs w:val="22"/>
        </w:rPr>
      </w:pPr>
      <w:r w:rsidRPr="00E9732D">
        <w:rPr>
          <w:rFonts w:ascii="Arial" w:hAnsi="Arial" w:cs="Arial"/>
          <w:sz w:val="22"/>
          <w:szCs w:val="22"/>
        </w:rPr>
        <w:lastRenderedPageBreak/>
        <w:t>Page 2</w:t>
      </w:r>
    </w:p>
    <w:p w:rsidR="00E9732D" w:rsidRDefault="00E9732D" w:rsidP="00E9732D">
      <w:pPr>
        <w:pStyle w:val="Default"/>
        <w:spacing w:line="360" w:lineRule="auto"/>
        <w:ind w:left="360"/>
        <w:jc w:val="both"/>
        <w:rPr>
          <w:rFonts w:ascii="Arial" w:hAnsi="Arial" w:cs="Arial"/>
          <w:sz w:val="22"/>
          <w:szCs w:val="22"/>
        </w:rPr>
      </w:pP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the party to be appointed C&amp;</w:t>
      </w:r>
      <w:proofErr w:type="gramStart"/>
      <w:r w:rsidRPr="00E9732D">
        <w:rPr>
          <w:rFonts w:ascii="Arial" w:hAnsi="Arial" w:cs="Arial"/>
          <w:sz w:val="22"/>
          <w:szCs w:val="22"/>
        </w:rPr>
        <w:t>FA,</w:t>
      </w:r>
      <w:proofErr w:type="gramEnd"/>
      <w:r w:rsidRPr="00E9732D">
        <w:rPr>
          <w:rFonts w:ascii="Arial" w:hAnsi="Arial" w:cs="Arial"/>
          <w:sz w:val="22"/>
          <w:szCs w:val="22"/>
        </w:rPr>
        <w:t xml:space="preserve"> shall arrange for transportation for all the stations, where the stocks of Verka are to be dispatched and shall accordingly got in to agreement in with. The copy containing terms and conditions to govern the agreement between the transporter &amp; C&amp;</w:t>
      </w:r>
      <w:proofErr w:type="gramStart"/>
      <w:r w:rsidRPr="00E9732D">
        <w:rPr>
          <w:rFonts w:ascii="Arial" w:hAnsi="Arial" w:cs="Arial"/>
          <w:sz w:val="22"/>
          <w:szCs w:val="22"/>
        </w:rPr>
        <w:t>FA,</w:t>
      </w:r>
      <w:proofErr w:type="gramEnd"/>
      <w:r w:rsidRPr="00E9732D">
        <w:rPr>
          <w:rFonts w:ascii="Arial" w:hAnsi="Arial" w:cs="Arial"/>
          <w:sz w:val="22"/>
          <w:szCs w:val="22"/>
        </w:rPr>
        <w:t xml:space="preserve"> shall be provided at the time of appointment.  </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the manpower for billing and other related operations like logistics and supply chain etc shall be arranged by the party to be appointed C&amp;FA.</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the selected party for the appointment of C&amp;FA shall have to become nominal member of Milkfed at the time of entering in to mutual agreement.</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the Managing Director, Milkfed shall have the right to reject all the quotations without assigning any reason and his decision in all aspects shall be final &amp; binding.</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Conditional offers shall not be accepted.</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Registrar Cooperative shall be sole arbitrator in the event of any arbitration and his decision in the arbitration matter shall be final and binding upon both the parties.</w:t>
      </w:r>
    </w:p>
    <w:p w:rsidR="00165FB8" w:rsidRPr="00E9732D" w:rsidRDefault="00165FB8" w:rsidP="00165FB8">
      <w:pPr>
        <w:pStyle w:val="Default"/>
        <w:numPr>
          <w:ilvl w:val="0"/>
          <w:numId w:val="1"/>
        </w:numPr>
        <w:spacing w:line="360" w:lineRule="auto"/>
        <w:jc w:val="both"/>
        <w:rPr>
          <w:rFonts w:ascii="Arial" w:hAnsi="Arial" w:cs="Arial"/>
          <w:sz w:val="22"/>
          <w:szCs w:val="22"/>
        </w:rPr>
      </w:pPr>
      <w:r w:rsidRPr="00E9732D">
        <w:rPr>
          <w:rFonts w:ascii="Arial" w:hAnsi="Arial" w:cs="Arial"/>
          <w:sz w:val="22"/>
          <w:szCs w:val="22"/>
        </w:rPr>
        <w:t>That  the jurisdiction for settling any dispute, at any stage, shall be the courts of Registrar Cooperative Societies and Civil Courts, Chandigarh.</w:t>
      </w:r>
    </w:p>
    <w:p w:rsidR="00165FB8" w:rsidRPr="00E9732D" w:rsidRDefault="00165FB8" w:rsidP="00165FB8">
      <w:pPr>
        <w:pStyle w:val="Default"/>
        <w:spacing w:line="360" w:lineRule="auto"/>
        <w:jc w:val="both"/>
        <w:rPr>
          <w:rFonts w:ascii="Arial" w:hAnsi="Arial" w:cs="Arial"/>
          <w:sz w:val="22"/>
          <w:szCs w:val="22"/>
        </w:rPr>
      </w:pPr>
    </w:p>
    <w:p w:rsidR="00165FB8" w:rsidRPr="00E9732D" w:rsidRDefault="00165FB8" w:rsidP="00165FB8">
      <w:pPr>
        <w:pStyle w:val="Default"/>
        <w:spacing w:line="360" w:lineRule="auto"/>
        <w:jc w:val="both"/>
        <w:rPr>
          <w:rFonts w:ascii="Arial" w:hAnsi="Arial" w:cs="Arial"/>
          <w:sz w:val="22"/>
          <w:szCs w:val="22"/>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Pr="00273586"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spacing w:line="360" w:lineRule="auto"/>
        <w:jc w:val="both"/>
        <w:rPr>
          <w:rFonts w:ascii="Arial" w:hAnsi="Arial" w:cs="Arial"/>
        </w:rPr>
      </w:pPr>
    </w:p>
    <w:p w:rsidR="00165FB8" w:rsidRDefault="00165FB8" w:rsidP="00165FB8">
      <w:pPr>
        <w:pStyle w:val="Default"/>
        <w:jc w:val="both"/>
        <w:rPr>
          <w:rFonts w:ascii="Arial" w:hAnsi="Arial" w:cs="Arial"/>
          <w:b/>
          <w:bCs/>
        </w:rPr>
      </w:pPr>
    </w:p>
    <w:p w:rsidR="00165FB8" w:rsidRDefault="00165FB8" w:rsidP="00165FB8">
      <w:pPr>
        <w:pStyle w:val="Default"/>
        <w:jc w:val="both"/>
        <w:rPr>
          <w:rFonts w:ascii="Arial" w:hAnsi="Arial" w:cs="Arial"/>
          <w:b/>
          <w:bCs/>
        </w:rPr>
      </w:pPr>
    </w:p>
    <w:p w:rsidR="00165FB8" w:rsidRDefault="00165FB8" w:rsidP="00165FB8">
      <w:pPr>
        <w:pStyle w:val="Default"/>
        <w:jc w:val="both"/>
        <w:rPr>
          <w:rFonts w:ascii="Arial" w:hAnsi="Arial" w:cs="Arial"/>
          <w:b/>
          <w:bCs/>
        </w:rPr>
      </w:pPr>
    </w:p>
    <w:p w:rsidR="00165FB8" w:rsidRDefault="00165FB8" w:rsidP="00165FB8">
      <w:pPr>
        <w:pStyle w:val="Default"/>
        <w:jc w:val="both"/>
        <w:rPr>
          <w:rFonts w:ascii="Arial" w:hAnsi="Arial" w:cs="Arial"/>
          <w:b/>
          <w:bCs/>
        </w:rPr>
      </w:pPr>
    </w:p>
    <w:p w:rsidR="00165FB8" w:rsidRPr="00E9732D" w:rsidRDefault="00165FB8" w:rsidP="00165FB8">
      <w:pPr>
        <w:pStyle w:val="Default"/>
        <w:jc w:val="both"/>
        <w:rPr>
          <w:rFonts w:ascii="Arial" w:hAnsi="Arial" w:cs="Arial"/>
          <w:b/>
          <w:bCs/>
          <w:sz w:val="22"/>
          <w:szCs w:val="22"/>
        </w:rPr>
      </w:pPr>
      <w:r w:rsidRPr="00E9732D">
        <w:rPr>
          <w:rFonts w:ascii="Arial" w:hAnsi="Arial" w:cs="Arial"/>
          <w:b/>
          <w:bCs/>
          <w:sz w:val="22"/>
          <w:szCs w:val="22"/>
        </w:rPr>
        <w:lastRenderedPageBreak/>
        <w:t>The quotation invitation shall have two parts and is to be submitted separately in two sealed envelopes, super subscribing”</w:t>
      </w:r>
    </w:p>
    <w:p w:rsidR="00165FB8" w:rsidRPr="00E9732D" w:rsidRDefault="00165FB8" w:rsidP="00165FB8">
      <w:pPr>
        <w:pStyle w:val="Default"/>
        <w:ind w:left="1080"/>
        <w:jc w:val="both"/>
        <w:rPr>
          <w:rFonts w:ascii="Arial" w:hAnsi="Arial" w:cs="Arial"/>
          <w:sz w:val="22"/>
          <w:szCs w:val="22"/>
        </w:rPr>
      </w:pPr>
      <w:r w:rsidRPr="00E9732D">
        <w:rPr>
          <w:rFonts w:ascii="Arial" w:hAnsi="Arial" w:cs="Arial"/>
          <w:sz w:val="22"/>
          <w:szCs w:val="22"/>
        </w:rPr>
        <w:t>1“Technical Offer For The Appointment of C&amp;FA for J&amp;</w:t>
      </w:r>
      <w:proofErr w:type="gramStart"/>
      <w:r w:rsidRPr="00E9732D">
        <w:rPr>
          <w:rFonts w:ascii="Arial" w:hAnsi="Arial" w:cs="Arial"/>
          <w:sz w:val="22"/>
          <w:szCs w:val="22"/>
        </w:rPr>
        <w:t>K .</w:t>
      </w:r>
      <w:proofErr w:type="gramEnd"/>
      <w:r w:rsidRPr="00E9732D">
        <w:rPr>
          <w:rFonts w:ascii="Arial" w:hAnsi="Arial" w:cs="Arial"/>
          <w:sz w:val="22"/>
          <w:szCs w:val="22"/>
        </w:rPr>
        <w:t xml:space="preserve"> </w:t>
      </w:r>
    </w:p>
    <w:p w:rsidR="00165FB8" w:rsidRPr="00E9732D" w:rsidRDefault="00165FB8" w:rsidP="00165FB8">
      <w:pPr>
        <w:pStyle w:val="Default"/>
        <w:ind w:left="1080"/>
        <w:jc w:val="both"/>
        <w:rPr>
          <w:rFonts w:ascii="Arial" w:hAnsi="Arial" w:cs="Arial"/>
          <w:sz w:val="22"/>
          <w:szCs w:val="22"/>
        </w:rPr>
      </w:pPr>
    </w:p>
    <w:p w:rsidR="00165FB8" w:rsidRPr="00E9732D" w:rsidRDefault="00165FB8" w:rsidP="00165FB8">
      <w:pPr>
        <w:pStyle w:val="Default"/>
        <w:ind w:left="1080"/>
        <w:jc w:val="both"/>
        <w:rPr>
          <w:rFonts w:ascii="Arial" w:hAnsi="Arial" w:cs="Arial"/>
          <w:sz w:val="22"/>
          <w:szCs w:val="22"/>
        </w:rPr>
      </w:pPr>
      <w:proofErr w:type="gramStart"/>
      <w:r w:rsidRPr="00E9732D">
        <w:rPr>
          <w:rFonts w:ascii="Arial" w:hAnsi="Arial" w:cs="Arial"/>
          <w:sz w:val="22"/>
          <w:szCs w:val="22"/>
        </w:rPr>
        <w:t>2.Financial</w:t>
      </w:r>
      <w:proofErr w:type="gramEnd"/>
      <w:r w:rsidRPr="00E9732D">
        <w:rPr>
          <w:rFonts w:ascii="Arial" w:hAnsi="Arial" w:cs="Arial"/>
          <w:sz w:val="22"/>
          <w:szCs w:val="22"/>
        </w:rPr>
        <w:t xml:space="preserve"> Offer For The Appointment of C&amp; FA for J&amp;K </w:t>
      </w:r>
    </w:p>
    <w:p w:rsidR="00165FB8" w:rsidRPr="00E9732D" w:rsidRDefault="00165FB8" w:rsidP="00165FB8">
      <w:pPr>
        <w:pStyle w:val="Default"/>
        <w:ind w:left="1080"/>
        <w:jc w:val="both"/>
        <w:rPr>
          <w:rFonts w:ascii="Arial" w:hAnsi="Arial" w:cs="Arial"/>
          <w:sz w:val="22"/>
          <w:szCs w:val="22"/>
        </w:rPr>
      </w:pPr>
    </w:p>
    <w:p w:rsidR="00165FB8" w:rsidRPr="00E9732D" w:rsidRDefault="00165FB8" w:rsidP="00165FB8">
      <w:pPr>
        <w:pStyle w:val="Default"/>
        <w:numPr>
          <w:ilvl w:val="0"/>
          <w:numId w:val="3"/>
        </w:numPr>
        <w:jc w:val="both"/>
        <w:rPr>
          <w:rFonts w:ascii="Arial" w:hAnsi="Arial" w:cs="Arial"/>
          <w:sz w:val="22"/>
          <w:szCs w:val="22"/>
        </w:rPr>
      </w:pPr>
      <w:r w:rsidRPr="00E9732D">
        <w:rPr>
          <w:rFonts w:ascii="Arial" w:hAnsi="Arial" w:cs="Arial"/>
          <w:b/>
          <w:bCs/>
          <w:sz w:val="22"/>
          <w:szCs w:val="22"/>
        </w:rPr>
        <w:t>Technical Bid :-</w:t>
      </w:r>
      <w:r w:rsidRPr="00E9732D">
        <w:rPr>
          <w:rFonts w:ascii="Arial" w:hAnsi="Arial" w:cs="Arial"/>
          <w:sz w:val="22"/>
          <w:szCs w:val="22"/>
        </w:rPr>
        <w:t xml:space="preserve"> (Annexure 1)</w:t>
      </w:r>
    </w:p>
    <w:p w:rsidR="00165FB8" w:rsidRPr="00E9732D" w:rsidRDefault="00165FB8" w:rsidP="00165FB8">
      <w:pPr>
        <w:pStyle w:val="Default"/>
        <w:ind w:left="720"/>
        <w:jc w:val="both"/>
        <w:rPr>
          <w:rFonts w:ascii="Arial" w:hAnsi="Arial" w:cs="Arial"/>
          <w:sz w:val="22"/>
          <w:szCs w:val="22"/>
        </w:rPr>
      </w:pPr>
    </w:p>
    <w:p w:rsidR="00165FB8" w:rsidRPr="00E9732D" w:rsidRDefault="00165FB8" w:rsidP="00165FB8">
      <w:pPr>
        <w:pStyle w:val="Default"/>
        <w:ind w:left="720"/>
        <w:jc w:val="both"/>
        <w:rPr>
          <w:rFonts w:ascii="Arial" w:hAnsi="Arial" w:cs="Arial"/>
          <w:sz w:val="22"/>
          <w:szCs w:val="22"/>
        </w:rPr>
      </w:pPr>
      <w:r w:rsidRPr="00E9732D">
        <w:rPr>
          <w:rFonts w:ascii="Arial" w:hAnsi="Arial" w:cs="Arial"/>
          <w:sz w:val="22"/>
          <w:szCs w:val="22"/>
        </w:rPr>
        <w:t xml:space="preserve">The technical evaluation shall be made on the parameters, as defined hereunder; Minimum marks to be </w:t>
      </w:r>
      <w:proofErr w:type="gramStart"/>
      <w:r w:rsidRPr="00E9732D">
        <w:rPr>
          <w:rFonts w:ascii="Arial" w:hAnsi="Arial" w:cs="Arial"/>
          <w:sz w:val="22"/>
          <w:szCs w:val="22"/>
        </w:rPr>
        <w:t>Scored</w:t>
      </w:r>
      <w:proofErr w:type="gramEnd"/>
      <w:r w:rsidRPr="00E9732D">
        <w:rPr>
          <w:rFonts w:ascii="Arial" w:hAnsi="Arial" w:cs="Arial"/>
          <w:sz w:val="22"/>
          <w:szCs w:val="22"/>
        </w:rPr>
        <w:t xml:space="preserve"> for qualifying Technical Bid shall be 70 Marks.</w:t>
      </w:r>
    </w:p>
    <w:tbl>
      <w:tblPr>
        <w:tblStyle w:val="TableGrid"/>
        <w:tblW w:w="0" w:type="auto"/>
        <w:tblLook w:val="04A0" w:firstRow="1" w:lastRow="0" w:firstColumn="1" w:lastColumn="0" w:noHBand="0" w:noVBand="1"/>
      </w:tblPr>
      <w:tblGrid>
        <w:gridCol w:w="2154"/>
        <w:gridCol w:w="1846"/>
        <w:gridCol w:w="2633"/>
        <w:gridCol w:w="1121"/>
        <w:gridCol w:w="1488"/>
      </w:tblGrid>
      <w:tr w:rsidR="00165FB8" w:rsidRPr="00E9732D" w:rsidTr="00140BC6">
        <w:tc>
          <w:tcPr>
            <w:tcW w:w="2308"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Particulars</w:t>
            </w:r>
          </w:p>
        </w:tc>
        <w:tc>
          <w:tcPr>
            <w:tcW w:w="2066"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Measure of Performance</w:t>
            </w:r>
          </w:p>
        </w:tc>
        <w:tc>
          <w:tcPr>
            <w:tcW w:w="2724"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“Parameters of Marks Evaluation</w:t>
            </w:r>
          </w:p>
        </w:tc>
        <w:tc>
          <w:tcPr>
            <w:tcW w:w="1329"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Marks</w:t>
            </w:r>
          </w:p>
        </w:tc>
        <w:tc>
          <w:tcPr>
            <w:tcW w:w="1536"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Information Rendered</w:t>
            </w: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Total experience in Handling C&amp;FA Operations </w:t>
            </w:r>
          </w:p>
        </w:tc>
        <w:tc>
          <w:tcPr>
            <w:tcW w:w="2066" w:type="dxa"/>
          </w:tcPr>
          <w:p w:rsidR="00165FB8" w:rsidRPr="00E9732D" w:rsidRDefault="00165FB8" w:rsidP="00140BC6">
            <w:pPr>
              <w:pStyle w:val="Default"/>
              <w:jc w:val="center"/>
              <w:rPr>
                <w:rFonts w:ascii="Arial" w:hAnsi="Arial" w:cs="Arial"/>
                <w:sz w:val="22"/>
                <w:szCs w:val="22"/>
              </w:rPr>
            </w:pPr>
          </w:p>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In Years</w:t>
            </w:r>
          </w:p>
        </w:tc>
        <w:tc>
          <w:tcPr>
            <w:tcW w:w="2724"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More Than 5 Years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p>
        </w:tc>
        <w:tc>
          <w:tcPr>
            <w:tcW w:w="1329"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20 Marks</w:t>
            </w:r>
          </w:p>
        </w:tc>
        <w:tc>
          <w:tcPr>
            <w:tcW w:w="1536"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Current Warehousing being handled </w:t>
            </w:r>
          </w:p>
        </w:tc>
        <w:tc>
          <w:tcPr>
            <w:tcW w:w="2066" w:type="dxa"/>
          </w:tcPr>
          <w:p w:rsidR="00165FB8" w:rsidRPr="00E9732D" w:rsidRDefault="00165FB8" w:rsidP="00140BC6">
            <w:pPr>
              <w:pStyle w:val="Default"/>
              <w:jc w:val="center"/>
              <w:rPr>
                <w:rFonts w:ascii="Arial" w:hAnsi="Arial" w:cs="Arial"/>
                <w:sz w:val="22"/>
                <w:szCs w:val="22"/>
              </w:rPr>
            </w:pPr>
          </w:p>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In Square feet</w:t>
            </w:r>
          </w:p>
        </w:tc>
        <w:tc>
          <w:tcPr>
            <w:tcW w:w="2724" w:type="dxa"/>
          </w:tcPr>
          <w:p w:rsidR="00165FB8" w:rsidRPr="00E9732D" w:rsidRDefault="00165FB8" w:rsidP="00140BC6">
            <w:pPr>
              <w:pStyle w:val="Default"/>
              <w:ind w:left="720"/>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a) More than 2000 Sq Feet &amp; Up to 5000 Sq Ft</w:t>
            </w: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b) More Than 5000 Sq Feet &amp; Above </w:t>
            </w:r>
          </w:p>
        </w:tc>
        <w:tc>
          <w:tcPr>
            <w:tcW w:w="1329"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15 Marks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20 Marks</w:t>
            </w:r>
          </w:p>
        </w:tc>
        <w:tc>
          <w:tcPr>
            <w:tcW w:w="1536"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Prominent Names of Dairy /FMCG Food Products handled/Currently Handling</w:t>
            </w:r>
          </w:p>
        </w:tc>
        <w:tc>
          <w:tcPr>
            <w:tcW w:w="2066" w:type="dxa"/>
          </w:tcPr>
          <w:p w:rsidR="00165FB8" w:rsidRPr="00E9732D" w:rsidRDefault="00165FB8" w:rsidP="00140BC6">
            <w:pPr>
              <w:pStyle w:val="Default"/>
              <w:jc w:val="center"/>
              <w:rPr>
                <w:rFonts w:ascii="Arial" w:hAnsi="Arial" w:cs="Arial"/>
                <w:sz w:val="22"/>
                <w:szCs w:val="22"/>
              </w:rPr>
            </w:pPr>
          </w:p>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Dairy/FMCG Food Product Companies</w:t>
            </w:r>
          </w:p>
        </w:tc>
        <w:tc>
          <w:tcPr>
            <w:tcW w:w="2724"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a)Non Dairy Non Food Products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b)Amul/M.Dairy/Gagan/</w:t>
            </w: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Fortune/ITC etc</w:t>
            </w:r>
          </w:p>
          <w:p w:rsidR="00165FB8" w:rsidRPr="00E9732D" w:rsidRDefault="00165FB8" w:rsidP="00140BC6">
            <w:pPr>
              <w:pStyle w:val="Default"/>
              <w:jc w:val="both"/>
              <w:rPr>
                <w:rFonts w:ascii="Arial" w:hAnsi="Arial" w:cs="Arial"/>
                <w:sz w:val="22"/>
                <w:szCs w:val="22"/>
              </w:rPr>
            </w:pPr>
          </w:p>
        </w:tc>
        <w:tc>
          <w:tcPr>
            <w:tcW w:w="1329"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05 Marks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10 Marks</w:t>
            </w:r>
          </w:p>
        </w:tc>
        <w:tc>
          <w:tcPr>
            <w:tcW w:w="1536"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Annual Turnover in Consumer Business of C&amp;FA Per Annum </w:t>
            </w:r>
          </w:p>
        </w:tc>
        <w:tc>
          <w:tcPr>
            <w:tcW w:w="2066" w:type="dxa"/>
          </w:tcPr>
          <w:p w:rsidR="00165FB8" w:rsidRPr="00E9732D" w:rsidRDefault="00165FB8" w:rsidP="00140BC6">
            <w:pPr>
              <w:pStyle w:val="Default"/>
              <w:jc w:val="center"/>
              <w:rPr>
                <w:rFonts w:ascii="Arial" w:hAnsi="Arial" w:cs="Arial"/>
                <w:sz w:val="22"/>
                <w:szCs w:val="22"/>
              </w:rPr>
            </w:pPr>
          </w:p>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In INR</w:t>
            </w:r>
          </w:p>
        </w:tc>
        <w:tc>
          <w:tcPr>
            <w:tcW w:w="2724"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a) More than 5 Crore and up to 10 Crore</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b) 10 Crore &amp; above</w:t>
            </w:r>
          </w:p>
        </w:tc>
        <w:tc>
          <w:tcPr>
            <w:tcW w:w="1329"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5 Marks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10 Marks</w:t>
            </w:r>
          </w:p>
          <w:p w:rsidR="00165FB8" w:rsidRPr="00E9732D" w:rsidRDefault="00165FB8" w:rsidP="00140BC6">
            <w:pPr>
              <w:pStyle w:val="Default"/>
              <w:jc w:val="both"/>
              <w:rPr>
                <w:rFonts w:ascii="Arial" w:hAnsi="Arial" w:cs="Arial"/>
                <w:sz w:val="22"/>
                <w:szCs w:val="22"/>
              </w:rPr>
            </w:pPr>
          </w:p>
        </w:tc>
        <w:tc>
          <w:tcPr>
            <w:tcW w:w="1536"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Monthly Volume Handling of  Business</w:t>
            </w:r>
          </w:p>
        </w:tc>
        <w:tc>
          <w:tcPr>
            <w:tcW w:w="2066" w:type="dxa"/>
          </w:tcPr>
          <w:p w:rsidR="00165FB8" w:rsidRPr="00E9732D" w:rsidRDefault="00165FB8" w:rsidP="00140BC6">
            <w:pPr>
              <w:pStyle w:val="Default"/>
              <w:jc w:val="center"/>
              <w:rPr>
                <w:rFonts w:ascii="Arial" w:hAnsi="Arial" w:cs="Arial"/>
                <w:sz w:val="22"/>
                <w:szCs w:val="22"/>
              </w:rPr>
            </w:pPr>
          </w:p>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In Metric Ton</w:t>
            </w:r>
          </w:p>
        </w:tc>
        <w:tc>
          <w:tcPr>
            <w:tcW w:w="2724"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a)25 MT to 50 MT</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b)51 MT &amp; Above</w:t>
            </w:r>
          </w:p>
        </w:tc>
        <w:tc>
          <w:tcPr>
            <w:tcW w:w="1329"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05 Marks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10 Marks</w:t>
            </w:r>
          </w:p>
        </w:tc>
        <w:tc>
          <w:tcPr>
            <w:tcW w:w="1536"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Handling of Distributors </w:t>
            </w:r>
          </w:p>
        </w:tc>
        <w:tc>
          <w:tcPr>
            <w:tcW w:w="2066" w:type="dxa"/>
          </w:tcPr>
          <w:p w:rsidR="00165FB8" w:rsidRPr="00E9732D" w:rsidRDefault="00165FB8" w:rsidP="00140BC6">
            <w:pPr>
              <w:pStyle w:val="Default"/>
              <w:jc w:val="center"/>
              <w:rPr>
                <w:rFonts w:ascii="Arial" w:hAnsi="Arial" w:cs="Arial"/>
                <w:sz w:val="22"/>
                <w:szCs w:val="22"/>
              </w:rPr>
            </w:pPr>
          </w:p>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In Number</w:t>
            </w:r>
          </w:p>
        </w:tc>
        <w:tc>
          <w:tcPr>
            <w:tcW w:w="2724"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 </w:t>
            </w: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25 Distributors &amp; Above</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26 Distributors to 50 Distributors</w:t>
            </w:r>
          </w:p>
        </w:tc>
        <w:tc>
          <w:tcPr>
            <w:tcW w:w="1329"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10 Marks</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20 Marks </w:t>
            </w:r>
          </w:p>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p>
        </w:tc>
        <w:tc>
          <w:tcPr>
            <w:tcW w:w="1536"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2308"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Manpower Strength</w:t>
            </w:r>
          </w:p>
        </w:tc>
        <w:tc>
          <w:tcPr>
            <w:tcW w:w="2066" w:type="dxa"/>
          </w:tcPr>
          <w:p w:rsidR="00165FB8" w:rsidRPr="00E9732D" w:rsidRDefault="00165FB8" w:rsidP="00140BC6">
            <w:pPr>
              <w:pStyle w:val="Default"/>
              <w:jc w:val="center"/>
              <w:rPr>
                <w:rFonts w:ascii="Arial" w:hAnsi="Arial" w:cs="Arial"/>
                <w:sz w:val="22"/>
                <w:szCs w:val="22"/>
              </w:rPr>
            </w:pPr>
            <w:r w:rsidRPr="00E9732D">
              <w:rPr>
                <w:rFonts w:ascii="Arial" w:hAnsi="Arial" w:cs="Arial"/>
                <w:sz w:val="22"/>
                <w:szCs w:val="22"/>
              </w:rPr>
              <w:t>In Number :-</w:t>
            </w:r>
          </w:p>
          <w:p w:rsidR="00165FB8" w:rsidRPr="00E9732D" w:rsidRDefault="00165FB8" w:rsidP="00140BC6">
            <w:pPr>
              <w:pStyle w:val="Default"/>
              <w:jc w:val="center"/>
              <w:rPr>
                <w:rFonts w:ascii="Arial" w:hAnsi="Arial" w:cs="Arial"/>
                <w:sz w:val="22"/>
                <w:szCs w:val="22"/>
              </w:rPr>
            </w:pPr>
          </w:p>
        </w:tc>
        <w:tc>
          <w:tcPr>
            <w:tcW w:w="2724"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Minimum 20 </w:t>
            </w:r>
          </w:p>
        </w:tc>
        <w:tc>
          <w:tcPr>
            <w:tcW w:w="1329"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10 Marks</w:t>
            </w:r>
          </w:p>
        </w:tc>
        <w:tc>
          <w:tcPr>
            <w:tcW w:w="1536" w:type="dxa"/>
          </w:tcPr>
          <w:p w:rsidR="00165FB8" w:rsidRPr="00E9732D" w:rsidRDefault="00165FB8" w:rsidP="00140BC6">
            <w:pPr>
              <w:pStyle w:val="Default"/>
              <w:jc w:val="both"/>
              <w:rPr>
                <w:rFonts w:ascii="Arial" w:hAnsi="Arial" w:cs="Arial"/>
                <w:sz w:val="22"/>
                <w:szCs w:val="22"/>
              </w:rPr>
            </w:pPr>
          </w:p>
        </w:tc>
      </w:tr>
    </w:tbl>
    <w:p w:rsidR="00165FB8" w:rsidRPr="00E9732D" w:rsidRDefault="00165FB8" w:rsidP="00165FB8">
      <w:pPr>
        <w:pStyle w:val="Default"/>
        <w:jc w:val="right"/>
        <w:rPr>
          <w:rFonts w:ascii="Arial" w:hAnsi="Arial" w:cs="Arial"/>
          <w:sz w:val="22"/>
          <w:szCs w:val="22"/>
        </w:rPr>
      </w:pPr>
    </w:p>
    <w:p w:rsidR="00E9732D" w:rsidRPr="00E9732D" w:rsidRDefault="00E9732D" w:rsidP="00165FB8">
      <w:pPr>
        <w:pStyle w:val="Default"/>
        <w:jc w:val="right"/>
        <w:rPr>
          <w:rFonts w:ascii="Arial" w:hAnsi="Arial" w:cs="Arial"/>
          <w:sz w:val="22"/>
          <w:szCs w:val="22"/>
        </w:rPr>
      </w:pPr>
    </w:p>
    <w:p w:rsidR="00E9732D" w:rsidRPr="00E9732D" w:rsidRDefault="00E9732D" w:rsidP="00165FB8">
      <w:pPr>
        <w:pStyle w:val="Default"/>
        <w:jc w:val="right"/>
        <w:rPr>
          <w:rFonts w:ascii="Arial" w:hAnsi="Arial" w:cs="Arial"/>
          <w:sz w:val="22"/>
          <w:szCs w:val="22"/>
        </w:rPr>
      </w:pPr>
    </w:p>
    <w:p w:rsidR="00165FB8" w:rsidRPr="00E9732D" w:rsidRDefault="00165FB8" w:rsidP="00165FB8">
      <w:pPr>
        <w:pStyle w:val="Default"/>
        <w:jc w:val="right"/>
        <w:rPr>
          <w:rFonts w:ascii="Arial" w:hAnsi="Arial" w:cs="Arial"/>
          <w:sz w:val="22"/>
          <w:szCs w:val="22"/>
        </w:rPr>
      </w:pPr>
      <w:r w:rsidRPr="00E9732D">
        <w:rPr>
          <w:rFonts w:ascii="Arial" w:hAnsi="Arial" w:cs="Arial"/>
          <w:sz w:val="22"/>
          <w:szCs w:val="22"/>
        </w:rPr>
        <w:t>Seal &amp; Signature of the applicant</w:t>
      </w:r>
    </w:p>
    <w:p w:rsidR="00165FB8" w:rsidRPr="00E9732D" w:rsidRDefault="00165FB8" w:rsidP="00165FB8">
      <w:pPr>
        <w:pStyle w:val="Default"/>
        <w:jc w:val="right"/>
        <w:rPr>
          <w:rFonts w:ascii="Arial" w:hAnsi="Arial" w:cs="Arial"/>
          <w:sz w:val="22"/>
          <w:szCs w:val="22"/>
        </w:rPr>
      </w:pPr>
    </w:p>
    <w:p w:rsidR="00165FB8" w:rsidRPr="00E9732D" w:rsidRDefault="00165FB8" w:rsidP="00165FB8">
      <w:pPr>
        <w:pStyle w:val="Default"/>
        <w:jc w:val="right"/>
        <w:rPr>
          <w:rFonts w:ascii="Arial" w:hAnsi="Arial" w:cs="Arial"/>
          <w:sz w:val="22"/>
          <w:szCs w:val="22"/>
        </w:rPr>
      </w:pPr>
    </w:p>
    <w:p w:rsidR="00E9732D" w:rsidRDefault="00E9732D" w:rsidP="00E9732D">
      <w:pPr>
        <w:pStyle w:val="Default"/>
        <w:ind w:left="1080"/>
        <w:jc w:val="both"/>
        <w:rPr>
          <w:rFonts w:ascii="Arial" w:hAnsi="Arial" w:cs="Arial"/>
          <w:b/>
          <w:bCs/>
          <w:sz w:val="22"/>
          <w:szCs w:val="22"/>
        </w:rPr>
      </w:pPr>
    </w:p>
    <w:p w:rsidR="00E9732D" w:rsidRDefault="00E9732D" w:rsidP="00E9732D">
      <w:pPr>
        <w:pStyle w:val="Default"/>
        <w:ind w:left="1080"/>
        <w:jc w:val="both"/>
        <w:rPr>
          <w:rFonts w:ascii="Arial" w:hAnsi="Arial" w:cs="Arial"/>
          <w:b/>
          <w:bCs/>
          <w:sz w:val="22"/>
          <w:szCs w:val="22"/>
        </w:rPr>
      </w:pPr>
    </w:p>
    <w:p w:rsidR="00E9732D" w:rsidRDefault="00E9732D" w:rsidP="00E9732D">
      <w:pPr>
        <w:pStyle w:val="Default"/>
        <w:ind w:left="1080"/>
        <w:jc w:val="both"/>
        <w:rPr>
          <w:rFonts w:ascii="Arial" w:hAnsi="Arial" w:cs="Arial"/>
          <w:b/>
          <w:bCs/>
          <w:sz w:val="22"/>
          <w:szCs w:val="22"/>
        </w:rPr>
      </w:pPr>
    </w:p>
    <w:p w:rsidR="00E9732D" w:rsidRDefault="00E9732D" w:rsidP="00E9732D">
      <w:pPr>
        <w:pStyle w:val="Default"/>
        <w:jc w:val="both"/>
        <w:rPr>
          <w:rFonts w:ascii="Arial" w:hAnsi="Arial" w:cs="Arial"/>
          <w:b/>
          <w:bCs/>
          <w:sz w:val="22"/>
          <w:szCs w:val="22"/>
        </w:rPr>
      </w:pPr>
    </w:p>
    <w:p w:rsidR="00165FB8" w:rsidRPr="00E9732D" w:rsidRDefault="00165FB8" w:rsidP="00165FB8">
      <w:pPr>
        <w:pStyle w:val="Default"/>
        <w:numPr>
          <w:ilvl w:val="0"/>
          <w:numId w:val="3"/>
        </w:numPr>
        <w:jc w:val="both"/>
        <w:rPr>
          <w:rFonts w:ascii="Arial" w:hAnsi="Arial" w:cs="Arial"/>
          <w:b/>
          <w:bCs/>
          <w:sz w:val="22"/>
          <w:szCs w:val="22"/>
        </w:rPr>
      </w:pPr>
      <w:r w:rsidRPr="00E9732D">
        <w:rPr>
          <w:rFonts w:ascii="Arial" w:hAnsi="Arial" w:cs="Arial"/>
          <w:b/>
          <w:bCs/>
          <w:sz w:val="22"/>
          <w:szCs w:val="22"/>
        </w:rPr>
        <w:lastRenderedPageBreak/>
        <w:t>Financial Offer :- (Annexure -2)</w:t>
      </w:r>
    </w:p>
    <w:p w:rsidR="00165FB8" w:rsidRPr="00E9732D" w:rsidRDefault="00165FB8" w:rsidP="00165FB8">
      <w:pPr>
        <w:pStyle w:val="Default"/>
        <w:ind w:left="720"/>
        <w:jc w:val="both"/>
        <w:rPr>
          <w:rFonts w:ascii="Arial" w:hAnsi="Arial" w:cs="Arial"/>
          <w:b/>
          <w:bCs/>
          <w:sz w:val="22"/>
          <w:szCs w:val="22"/>
        </w:rPr>
      </w:pPr>
    </w:p>
    <w:p w:rsidR="00165FB8" w:rsidRPr="00E9732D" w:rsidRDefault="00165FB8" w:rsidP="00165FB8">
      <w:pPr>
        <w:pStyle w:val="Default"/>
        <w:ind w:left="720"/>
        <w:jc w:val="both"/>
        <w:rPr>
          <w:rFonts w:ascii="Arial" w:hAnsi="Arial" w:cs="Arial"/>
          <w:sz w:val="22"/>
          <w:szCs w:val="22"/>
        </w:rPr>
      </w:pPr>
      <w:r w:rsidRPr="00E9732D">
        <w:rPr>
          <w:rFonts w:ascii="Arial" w:hAnsi="Arial" w:cs="Arial"/>
          <w:sz w:val="22"/>
          <w:szCs w:val="22"/>
        </w:rPr>
        <w:t>The interested parties are required to quote their rates for the below mentioned requirement of Milkfed and submit separately in the sealed cover.</w:t>
      </w:r>
    </w:p>
    <w:p w:rsidR="00165FB8" w:rsidRPr="00E9732D" w:rsidRDefault="00165FB8" w:rsidP="00165FB8">
      <w:pPr>
        <w:pStyle w:val="Default"/>
        <w:jc w:val="both"/>
        <w:rPr>
          <w:rFonts w:ascii="Arial" w:hAnsi="Arial" w:cs="Arial"/>
          <w:sz w:val="22"/>
          <w:szCs w:val="22"/>
        </w:rPr>
      </w:pPr>
    </w:p>
    <w:tbl>
      <w:tblPr>
        <w:tblStyle w:val="TableGrid"/>
        <w:tblW w:w="0" w:type="auto"/>
        <w:tblLook w:val="04A0" w:firstRow="1" w:lastRow="0" w:firstColumn="1" w:lastColumn="0" w:noHBand="0" w:noVBand="1"/>
      </w:tblPr>
      <w:tblGrid>
        <w:gridCol w:w="862"/>
        <w:gridCol w:w="4640"/>
        <w:gridCol w:w="1469"/>
        <w:gridCol w:w="2271"/>
      </w:tblGrid>
      <w:tr w:rsidR="00165FB8" w:rsidRPr="00E9732D" w:rsidTr="00140BC6">
        <w:tc>
          <w:tcPr>
            <w:tcW w:w="870"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Serial No</w:t>
            </w:r>
          </w:p>
        </w:tc>
        <w:tc>
          <w:tcPr>
            <w:tcW w:w="5065"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Particulars</w:t>
            </w:r>
          </w:p>
        </w:tc>
        <w:tc>
          <w:tcPr>
            <w:tcW w:w="1548"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Amount</w:t>
            </w:r>
          </w:p>
        </w:tc>
        <w:tc>
          <w:tcPr>
            <w:tcW w:w="2480" w:type="dxa"/>
          </w:tcPr>
          <w:p w:rsidR="00165FB8" w:rsidRPr="00E9732D" w:rsidRDefault="00165FB8" w:rsidP="00140BC6">
            <w:pPr>
              <w:pStyle w:val="Default"/>
              <w:jc w:val="center"/>
              <w:rPr>
                <w:rFonts w:ascii="Arial" w:hAnsi="Arial" w:cs="Arial"/>
                <w:b/>
                <w:bCs/>
                <w:sz w:val="22"/>
                <w:szCs w:val="22"/>
              </w:rPr>
            </w:pPr>
            <w:r w:rsidRPr="00E9732D">
              <w:rPr>
                <w:rFonts w:ascii="Arial" w:hAnsi="Arial" w:cs="Arial"/>
                <w:b/>
                <w:bCs/>
                <w:sz w:val="22"/>
                <w:szCs w:val="22"/>
              </w:rPr>
              <w:t>Remarks</w:t>
            </w: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1</w:t>
            </w:r>
          </w:p>
        </w:tc>
        <w:tc>
          <w:tcPr>
            <w:tcW w:w="5065"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Fixed Administration Expenses Per Month with Detail of Manpower Provision</w:t>
            </w:r>
          </w:p>
          <w:p w:rsidR="00165FB8" w:rsidRPr="00E9732D" w:rsidRDefault="00165FB8" w:rsidP="00140BC6">
            <w:pPr>
              <w:pStyle w:val="Default"/>
              <w:jc w:val="both"/>
              <w:rPr>
                <w:rFonts w:ascii="Arial" w:hAnsi="Arial" w:cs="Arial"/>
                <w:sz w:val="22"/>
                <w:szCs w:val="22"/>
              </w:rPr>
            </w:pP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2</w:t>
            </w:r>
          </w:p>
        </w:tc>
        <w:tc>
          <w:tcPr>
            <w:tcW w:w="5065"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Godown Rent Per square feet</w:t>
            </w: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 ( Minimum 3000 square feet)</w:t>
            </w: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2500 Square Ft For Godown,500 Ft for Office</w:t>
            </w: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3</w:t>
            </w:r>
          </w:p>
        </w:tc>
        <w:tc>
          <w:tcPr>
            <w:tcW w:w="5065" w:type="dxa"/>
          </w:tcPr>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Loading /Unloading </w:t>
            </w:r>
          </w:p>
          <w:p w:rsidR="00165FB8" w:rsidRPr="00E9732D" w:rsidRDefault="00165FB8" w:rsidP="00165FB8">
            <w:pPr>
              <w:pStyle w:val="Default"/>
              <w:numPr>
                <w:ilvl w:val="1"/>
                <w:numId w:val="2"/>
              </w:numPr>
              <w:jc w:val="both"/>
              <w:rPr>
                <w:rFonts w:ascii="Arial" w:hAnsi="Arial" w:cs="Arial"/>
                <w:sz w:val="22"/>
                <w:szCs w:val="22"/>
              </w:rPr>
            </w:pPr>
            <w:r w:rsidRPr="00E9732D">
              <w:rPr>
                <w:rFonts w:ascii="Arial" w:hAnsi="Arial" w:cs="Arial"/>
                <w:sz w:val="22"/>
                <w:szCs w:val="22"/>
              </w:rPr>
              <w:t>SMP Bags 25 Kg</w:t>
            </w:r>
          </w:p>
          <w:p w:rsidR="00165FB8" w:rsidRPr="00E9732D" w:rsidRDefault="00165FB8" w:rsidP="00165FB8">
            <w:pPr>
              <w:pStyle w:val="Default"/>
              <w:numPr>
                <w:ilvl w:val="1"/>
                <w:numId w:val="2"/>
              </w:numPr>
              <w:jc w:val="both"/>
              <w:rPr>
                <w:rFonts w:ascii="Arial" w:hAnsi="Arial" w:cs="Arial"/>
                <w:sz w:val="22"/>
                <w:szCs w:val="22"/>
              </w:rPr>
            </w:pPr>
            <w:r w:rsidRPr="00E9732D">
              <w:rPr>
                <w:rFonts w:ascii="Arial" w:hAnsi="Arial" w:cs="Arial"/>
                <w:sz w:val="22"/>
                <w:szCs w:val="22"/>
              </w:rPr>
              <w:t xml:space="preserve">Ghee 15 Kg Tin            (15 Kg) </w:t>
            </w:r>
          </w:p>
          <w:p w:rsidR="00165FB8" w:rsidRPr="00E9732D" w:rsidRDefault="00165FB8" w:rsidP="00165FB8">
            <w:pPr>
              <w:pStyle w:val="Default"/>
              <w:numPr>
                <w:ilvl w:val="1"/>
                <w:numId w:val="2"/>
              </w:numPr>
              <w:jc w:val="both"/>
              <w:rPr>
                <w:rFonts w:ascii="Arial" w:hAnsi="Arial" w:cs="Arial"/>
                <w:sz w:val="22"/>
                <w:szCs w:val="22"/>
              </w:rPr>
            </w:pPr>
            <w:r w:rsidRPr="00E9732D">
              <w:rPr>
                <w:rFonts w:ascii="Arial" w:hAnsi="Arial" w:cs="Arial"/>
                <w:sz w:val="22"/>
                <w:szCs w:val="22"/>
              </w:rPr>
              <w:t>Ghee Consumer Pack  (wt12 Litre )</w:t>
            </w:r>
          </w:p>
          <w:p w:rsidR="00165FB8" w:rsidRPr="00E9732D" w:rsidRDefault="00165FB8" w:rsidP="00165FB8">
            <w:pPr>
              <w:pStyle w:val="Default"/>
              <w:numPr>
                <w:ilvl w:val="1"/>
                <w:numId w:val="2"/>
              </w:numPr>
              <w:jc w:val="both"/>
              <w:rPr>
                <w:rFonts w:ascii="Arial" w:hAnsi="Arial" w:cs="Arial"/>
                <w:sz w:val="22"/>
                <w:szCs w:val="22"/>
              </w:rPr>
            </w:pPr>
            <w:r w:rsidRPr="00E9732D">
              <w:rPr>
                <w:rFonts w:ascii="Arial" w:hAnsi="Arial" w:cs="Arial"/>
                <w:sz w:val="22"/>
                <w:szCs w:val="22"/>
              </w:rPr>
              <w:t>Tetra Pack Drinks         (wt 6 Kg)</w:t>
            </w:r>
          </w:p>
          <w:p w:rsidR="00165FB8" w:rsidRPr="00E9732D" w:rsidRDefault="00165FB8" w:rsidP="00165FB8">
            <w:pPr>
              <w:pStyle w:val="Default"/>
              <w:numPr>
                <w:ilvl w:val="1"/>
                <w:numId w:val="2"/>
              </w:numPr>
              <w:jc w:val="both"/>
              <w:rPr>
                <w:rFonts w:ascii="Arial" w:hAnsi="Arial" w:cs="Arial"/>
                <w:sz w:val="22"/>
                <w:szCs w:val="22"/>
              </w:rPr>
            </w:pPr>
            <w:r w:rsidRPr="00E9732D">
              <w:rPr>
                <w:rFonts w:ascii="Arial" w:hAnsi="Arial" w:cs="Arial"/>
                <w:sz w:val="22"/>
                <w:szCs w:val="22"/>
              </w:rPr>
              <w:t>UHT Milk                       ( wt 13 Kg)</w:t>
            </w: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4</w:t>
            </w:r>
          </w:p>
        </w:tc>
        <w:tc>
          <w:tcPr>
            <w:tcW w:w="5065"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Commission/Handling Charges Per Case</w:t>
            </w:r>
          </w:p>
          <w:p w:rsidR="00165FB8" w:rsidRPr="00E9732D" w:rsidRDefault="00165FB8" w:rsidP="00140BC6">
            <w:pPr>
              <w:pStyle w:val="Default"/>
              <w:jc w:val="both"/>
              <w:rPr>
                <w:rFonts w:ascii="Arial" w:hAnsi="Arial" w:cs="Arial"/>
                <w:sz w:val="22"/>
                <w:szCs w:val="22"/>
              </w:rPr>
            </w:pP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5</w:t>
            </w:r>
          </w:p>
        </w:tc>
        <w:tc>
          <w:tcPr>
            <w:tcW w:w="5065"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Secondary Freight Local (Per kg/</w:t>
            </w:r>
            <w:proofErr w:type="spellStart"/>
            <w:r w:rsidRPr="00E9732D">
              <w:rPr>
                <w:rFonts w:ascii="Arial" w:hAnsi="Arial" w:cs="Arial"/>
                <w:sz w:val="22"/>
                <w:szCs w:val="22"/>
              </w:rPr>
              <w:t>Qtl</w:t>
            </w:r>
            <w:proofErr w:type="spellEnd"/>
            <w:r w:rsidRPr="00E9732D">
              <w:rPr>
                <w:rFonts w:ascii="Arial" w:hAnsi="Arial" w:cs="Arial"/>
                <w:sz w:val="22"/>
                <w:szCs w:val="22"/>
              </w:rPr>
              <w:t>)</w:t>
            </w:r>
          </w:p>
          <w:p w:rsidR="00165FB8" w:rsidRPr="00E9732D" w:rsidRDefault="00165FB8" w:rsidP="00140BC6">
            <w:pPr>
              <w:pStyle w:val="Default"/>
              <w:jc w:val="both"/>
              <w:rPr>
                <w:rFonts w:ascii="Arial" w:hAnsi="Arial" w:cs="Arial"/>
                <w:sz w:val="22"/>
                <w:szCs w:val="22"/>
              </w:rPr>
            </w:pP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6</w:t>
            </w:r>
          </w:p>
        </w:tc>
        <w:tc>
          <w:tcPr>
            <w:tcW w:w="5065"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Secondary Freight Upcountry (Per Kg/</w:t>
            </w:r>
            <w:proofErr w:type="spellStart"/>
            <w:r w:rsidRPr="00E9732D">
              <w:rPr>
                <w:rFonts w:ascii="Arial" w:hAnsi="Arial" w:cs="Arial"/>
                <w:sz w:val="22"/>
                <w:szCs w:val="22"/>
              </w:rPr>
              <w:t>Qtl</w:t>
            </w:r>
            <w:proofErr w:type="spellEnd"/>
            <w:r w:rsidRPr="00E9732D">
              <w:rPr>
                <w:rFonts w:ascii="Arial" w:hAnsi="Arial" w:cs="Arial"/>
                <w:sz w:val="22"/>
                <w:szCs w:val="22"/>
              </w:rPr>
              <w:t>)</w:t>
            </w:r>
          </w:p>
          <w:p w:rsidR="00165FB8" w:rsidRPr="00E9732D" w:rsidRDefault="00165FB8" w:rsidP="00140BC6">
            <w:pPr>
              <w:pStyle w:val="Default"/>
              <w:jc w:val="both"/>
              <w:rPr>
                <w:rFonts w:ascii="Arial" w:hAnsi="Arial" w:cs="Arial"/>
                <w:sz w:val="22"/>
                <w:szCs w:val="22"/>
              </w:rPr>
            </w:pP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7</w:t>
            </w:r>
          </w:p>
        </w:tc>
        <w:tc>
          <w:tcPr>
            <w:tcW w:w="5065"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Government Expenses (As Actual)</w:t>
            </w:r>
          </w:p>
          <w:p w:rsidR="00165FB8" w:rsidRPr="00E9732D" w:rsidRDefault="00165FB8" w:rsidP="00140BC6">
            <w:pPr>
              <w:pStyle w:val="Default"/>
              <w:jc w:val="both"/>
              <w:rPr>
                <w:rFonts w:ascii="Arial" w:hAnsi="Arial" w:cs="Arial"/>
                <w:sz w:val="22"/>
                <w:szCs w:val="22"/>
              </w:rPr>
            </w:pP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r w:rsidR="00165FB8" w:rsidRPr="00E9732D" w:rsidTr="00140BC6">
        <w:tc>
          <w:tcPr>
            <w:tcW w:w="870"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8</w:t>
            </w:r>
          </w:p>
        </w:tc>
        <w:tc>
          <w:tcPr>
            <w:tcW w:w="5065" w:type="dxa"/>
          </w:tcPr>
          <w:p w:rsidR="00165FB8" w:rsidRPr="00E9732D" w:rsidRDefault="00165FB8" w:rsidP="00140BC6">
            <w:pPr>
              <w:pStyle w:val="Default"/>
              <w:jc w:val="both"/>
              <w:rPr>
                <w:rFonts w:ascii="Arial" w:hAnsi="Arial" w:cs="Arial"/>
                <w:sz w:val="22"/>
                <w:szCs w:val="22"/>
              </w:rPr>
            </w:pPr>
          </w:p>
          <w:p w:rsidR="00165FB8" w:rsidRPr="00E9732D" w:rsidRDefault="00165FB8" w:rsidP="00140BC6">
            <w:pPr>
              <w:pStyle w:val="Default"/>
              <w:jc w:val="both"/>
              <w:rPr>
                <w:rFonts w:ascii="Arial" w:hAnsi="Arial" w:cs="Arial"/>
                <w:sz w:val="22"/>
                <w:szCs w:val="22"/>
              </w:rPr>
            </w:pPr>
            <w:r w:rsidRPr="00E9732D">
              <w:rPr>
                <w:rFonts w:ascii="Arial" w:hAnsi="Arial" w:cs="Arial"/>
                <w:sz w:val="22"/>
                <w:szCs w:val="22"/>
              </w:rPr>
              <w:t xml:space="preserve">Office Expenses, if any (On Monthly Basis) </w:t>
            </w:r>
          </w:p>
          <w:p w:rsidR="00165FB8" w:rsidRPr="00E9732D" w:rsidRDefault="00165FB8" w:rsidP="00140BC6">
            <w:pPr>
              <w:pStyle w:val="Default"/>
              <w:ind w:left="720"/>
              <w:jc w:val="both"/>
              <w:rPr>
                <w:rFonts w:ascii="Arial" w:hAnsi="Arial" w:cs="Arial"/>
                <w:sz w:val="22"/>
                <w:szCs w:val="22"/>
              </w:rPr>
            </w:pPr>
          </w:p>
        </w:tc>
        <w:tc>
          <w:tcPr>
            <w:tcW w:w="1548" w:type="dxa"/>
          </w:tcPr>
          <w:p w:rsidR="00165FB8" w:rsidRPr="00E9732D" w:rsidRDefault="00165FB8" w:rsidP="00140BC6">
            <w:pPr>
              <w:pStyle w:val="Default"/>
              <w:jc w:val="both"/>
              <w:rPr>
                <w:rFonts w:ascii="Arial" w:hAnsi="Arial" w:cs="Arial"/>
                <w:sz w:val="22"/>
                <w:szCs w:val="22"/>
              </w:rPr>
            </w:pPr>
          </w:p>
        </w:tc>
        <w:tc>
          <w:tcPr>
            <w:tcW w:w="2480" w:type="dxa"/>
          </w:tcPr>
          <w:p w:rsidR="00165FB8" w:rsidRPr="00E9732D" w:rsidRDefault="00165FB8" w:rsidP="00140BC6">
            <w:pPr>
              <w:pStyle w:val="Default"/>
              <w:jc w:val="both"/>
              <w:rPr>
                <w:rFonts w:ascii="Arial" w:hAnsi="Arial" w:cs="Arial"/>
                <w:sz w:val="22"/>
                <w:szCs w:val="22"/>
              </w:rPr>
            </w:pPr>
          </w:p>
        </w:tc>
      </w:tr>
    </w:tbl>
    <w:p w:rsidR="00165FB8" w:rsidRPr="00E9732D" w:rsidRDefault="00165FB8" w:rsidP="00165FB8">
      <w:pPr>
        <w:pStyle w:val="Default"/>
        <w:jc w:val="both"/>
        <w:rPr>
          <w:rFonts w:ascii="Arial" w:hAnsi="Arial" w:cs="Arial"/>
          <w:sz w:val="22"/>
          <w:szCs w:val="22"/>
        </w:rPr>
      </w:pPr>
    </w:p>
    <w:p w:rsidR="00165FB8" w:rsidRPr="00E9732D" w:rsidRDefault="00165FB8" w:rsidP="00165FB8">
      <w:pPr>
        <w:pStyle w:val="Default"/>
        <w:jc w:val="both"/>
        <w:rPr>
          <w:rFonts w:ascii="Arial" w:hAnsi="Arial" w:cs="Arial"/>
          <w:sz w:val="22"/>
          <w:szCs w:val="22"/>
        </w:rPr>
      </w:pPr>
    </w:p>
    <w:p w:rsidR="00E9732D" w:rsidRDefault="00E9732D" w:rsidP="00165FB8">
      <w:pPr>
        <w:pStyle w:val="Default"/>
        <w:jc w:val="right"/>
        <w:rPr>
          <w:rFonts w:ascii="Arial" w:hAnsi="Arial" w:cs="Arial"/>
          <w:sz w:val="22"/>
          <w:szCs w:val="22"/>
        </w:rPr>
      </w:pPr>
    </w:p>
    <w:p w:rsidR="00E9732D" w:rsidRDefault="00E9732D" w:rsidP="00165FB8">
      <w:pPr>
        <w:pStyle w:val="Default"/>
        <w:jc w:val="right"/>
        <w:rPr>
          <w:rFonts w:ascii="Arial" w:hAnsi="Arial" w:cs="Arial"/>
          <w:sz w:val="22"/>
          <w:szCs w:val="22"/>
        </w:rPr>
      </w:pPr>
    </w:p>
    <w:p w:rsidR="00165FB8" w:rsidRPr="00E9732D" w:rsidRDefault="00165FB8" w:rsidP="00165FB8">
      <w:pPr>
        <w:pStyle w:val="Default"/>
        <w:jc w:val="right"/>
        <w:rPr>
          <w:rFonts w:ascii="Arial" w:hAnsi="Arial" w:cs="Arial"/>
          <w:sz w:val="22"/>
          <w:szCs w:val="22"/>
        </w:rPr>
      </w:pPr>
      <w:r w:rsidRPr="00E9732D">
        <w:rPr>
          <w:rFonts w:ascii="Arial" w:hAnsi="Arial" w:cs="Arial"/>
          <w:sz w:val="22"/>
          <w:szCs w:val="22"/>
        </w:rPr>
        <w:t>Seal &amp; Signature of the applicant</w:t>
      </w:r>
    </w:p>
    <w:p w:rsidR="00165FB8" w:rsidRPr="00E9732D" w:rsidRDefault="00165FB8" w:rsidP="00165FB8"/>
    <w:p w:rsidR="00165FB8" w:rsidRPr="00E9732D" w:rsidRDefault="00165FB8" w:rsidP="00165FB8">
      <w:pPr>
        <w:pStyle w:val="Default"/>
        <w:spacing w:line="360" w:lineRule="auto"/>
        <w:jc w:val="both"/>
        <w:rPr>
          <w:rFonts w:ascii="Arial" w:hAnsi="Arial" w:cs="Arial"/>
          <w:sz w:val="22"/>
          <w:szCs w:val="22"/>
        </w:rPr>
      </w:pPr>
    </w:p>
    <w:p w:rsidR="00165FB8" w:rsidRDefault="00165FB8" w:rsidP="00165FB8">
      <w:pPr>
        <w:pStyle w:val="Default"/>
        <w:spacing w:line="360" w:lineRule="auto"/>
        <w:jc w:val="both"/>
        <w:rPr>
          <w:rFonts w:ascii="Arial" w:hAnsi="Arial" w:cs="Arial"/>
        </w:rPr>
      </w:pPr>
    </w:p>
    <w:p w:rsidR="00165FB8" w:rsidRDefault="00165FB8" w:rsidP="00165FB8"/>
    <w:p w:rsidR="00165FB8" w:rsidRDefault="00165FB8" w:rsidP="00165FB8"/>
    <w:p w:rsidR="00165FB8" w:rsidRDefault="00165FB8" w:rsidP="00165FB8"/>
    <w:p w:rsidR="009B508F" w:rsidRDefault="00CE21AF"/>
    <w:sectPr w:rsidR="009B508F" w:rsidSect="00B97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9AF"/>
    <w:multiLevelType w:val="hybridMultilevel"/>
    <w:tmpl w:val="D262B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6D79C0"/>
    <w:multiLevelType w:val="hybridMultilevel"/>
    <w:tmpl w:val="059808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F024618"/>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4D279B8"/>
    <w:multiLevelType w:val="hybridMultilevel"/>
    <w:tmpl w:val="95AC654A"/>
    <w:lvl w:ilvl="0" w:tplc="A0B277BA">
      <w:start w:val="1"/>
      <w:numFmt w:val="upperLetter"/>
      <w:lvlText w:val="%1)"/>
      <w:lvlJc w:val="left"/>
      <w:pPr>
        <w:ind w:left="1440" w:hanging="360"/>
      </w:pPr>
      <w:rPr>
        <w:rFonts w:hint="default"/>
        <w:b/>
        <w:sz w:val="2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B8"/>
    <w:rsid w:val="00165FB8"/>
    <w:rsid w:val="002832E6"/>
    <w:rsid w:val="0040085C"/>
    <w:rsid w:val="00524C94"/>
    <w:rsid w:val="00570AC5"/>
    <w:rsid w:val="00630D48"/>
    <w:rsid w:val="00872BB2"/>
    <w:rsid w:val="00923035"/>
    <w:rsid w:val="0095127A"/>
    <w:rsid w:val="00AC1C06"/>
    <w:rsid w:val="00B973CA"/>
    <w:rsid w:val="00CE21AF"/>
    <w:rsid w:val="00D863F1"/>
    <w:rsid w:val="00E40E21"/>
    <w:rsid w:val="00E9732D"/>
    <w:rsid w:val="00FD17F4"/>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B8"/>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65FB8"/>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28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2E6"/>
    <w:rPr>
      <w:rFonts w:ascii="Tahoma" w:eastAsiaTheme="minorEastAsia" w:hAnsi="Tahoma" w:cs="Tahoma"/>
      <w:sz w:val="16"/>
      <w:szCs w:val="16"/>
      <w:lang w:eastAsia="en-IN"/>
    </w:rPr>
  </w:style>
  <w:style w:type="character" w:styleId="Hyperlink">
    <w:name w:val="Hyperlink"/>
    <w:basedOn w:val="DefaultParagraphFont"/>
    <w:uiPriority w:val="99"/>
    <w:unhideWhenUsed/>
    <w:rsid w:val="002832E6"/>
    <w:rPr>
      <w:color w:val="0563C1" w:themeColor="hyperlink"/>
      <w:u w:val="single"/>
    </w:rPr>
  </w:style>
  <w:style w:type="paragraph" w:styleId="ListParagraph">
    <w:name w:val="List Paragraph"/>
    <w:basedOn w:val="Normal"/>
    <w:uiPriority w:val="34"/>
    <w:qFormat/>
    <w:rsid w:val="002832E6"/>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B8"/>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65FB8"/>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28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2E6"/>
    <w:rPr>
      <w:rFonts w:ascii="Tahoma" w:eastAsiaTheme="minorEastAsia" w:hAnsi="Tahoma" w:cs="Tahoma"/>
      <w:sz w:val="16"/>
      <w:szCs w:val="16"/>
      <w:lang w:eastAsia="en-IN"/>
    </w:rPr>
  </w:style>
  <w:style w:type="character" w:styleId="Hyperlink">
    <w:name w:val="Hyperlink"/>
    <w:basedOn w:val="DefaultParagraphFont"/>
    <w:uiPriority w:val="99"/>
    <w:unhideWhenUsed/>
    <w:rsid w:val="002832E6"/>
    <w:rPr>
      <w:color w:val="0563C1" w:themeColor="hyperlink"/>
      <w:u w:val="single"/>
    </w:rPr>
  </w:style>
  <w:style w:type="paragraph" w:styleId="ListParagraph">
    <w:name w:val="List Paragraph"/>
    <w:basedOn w:val="Normal"/>
    <w:uiPriority w:val="34"/>
    <w:qFormat/>
    <w:rsid w:val="002832E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ka.coo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milkfedpunjab</dc:creator>
  <cp:lastModifiedBy>hp</cp:lastModifiedBy>
  <cp:revision>2</cp:revision>
  <cp:lastPrinted>2019-02-23T07:08:00Z</cp:lastPrinted>
  <dcterms:created xsi:type="dcterms:W3CDTF">2019-02-27T05:31:00Z</dcterms:created>
  <dcterms:modified xsi:type="dcterms:W3CDTF">2019-02-27T05:31:00Z</dcterms:modified>
</cp:coreProperties>
</file>